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I’M NOT SCARED: Themes and Issues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Task 1</w:t>
      </w:r>
      <w:r w:rsidDel="00000000" w:rsidR="00000000" w:rsidRPr="00000000">
        <w:rPr>
          <w:rtl w:val="0"/>
        </w:rPr>
        <w:t xml:space="preserve">. Complete the table below, ensuring you explore both sides of the theme (this should take about two pages in total)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5523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7"/>
        <w:gridCol w:w="2587"/>
        <w:gridCol w:w="2587"/>
        <w:gridCol w:w="2587"/>
        <w:gridCol w:w="2588"/>
        <w:gridCol w:w="2588"/>
        <w:tblGridChange w:id="0">
          <w:tblGrid>
            <w:gridCol w:w="2587"/>
            <w:gridCol w:w="2587"/>
            <w:gridCol w:w="2587"/>
            <w:gridCol w:w="2587"/>
            <w:gridCol w:w="2588"/>
            <w:gridCol w:w="258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Incidents which develop the theme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Key Characters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Quotes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Connections with other themes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Summarise the way in which the theme is developed in the text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Loss of innocence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(Consider the adults: are they ever innocent?)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Morality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(Consider who behaves morally and who behaves immorally)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Courage 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(consider ‘cowardice’ also)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Betrayal 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(consider loyalty also)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Task 2.</w:t>
      </w:r>
      <w:r w:rsidDel="00000000" w:rsidR="00000000" w:rsidRPr="00000000">
        <w:rPr>
          <w:rtl w:val="0"/>
        </w:rPr>
        <w:t xml:space="preserve"> Use the table to write out four key theme paragraphs, using the TEEL approach (about half a page per theme = two pages)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Note: in total you must complete about four pages of work here; two pages for the table and two pages for the paragraphs 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Due date, Monday October 5th (first day of term)</w:t>
      </w:r>
    </w:p>
    <w:sectPr>
      <w:pgSz w:h="11894" w:w="16834"/>
      <w:pgMar w:bottom="720" w:top="720" w:left="720" w:right="8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Cambria">
    <w:embedRegular r:id="rId1" w:subsetted="0"/>
    <w:embedBold r:id="rId2" w:subsetted="0"/>
    <w:embedItalic r:id="rId3" w:subsetted="0"/>
    <w:embedBoldItalic r:id="rId4" w:subsetted="0"/>
  </w:font>
  <w:font w:name="Calibri">
    <w:embedRegular r:id="rId5" w:subsetted="0"/>
    <w:embedBold r:id="rId6" w:subsetted="0"/>
    <w:embedItalic r:id="rId7" w:subsetted="0"/>
    <w:embedBoldItalic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4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Relationship Id="rId5" Type="http://schemas.openxmlformats.org/officeDocument/2006/relationships/font" Target="fonts/Calibri-regular.ttf"/><Relationship Id="rId6" Type="http://schemas.openxmlformats.org/officeDocument/2006/relationships/font" Target="fonts/Calibri-bold.ttf"/><Relationship Id="rId7" Type="http://schemas.openxmlformats.org/officeDocument/2006/relationships/font" Target="fonts/Calibri-italic.ttf"/><Relationship Id="rId8" Type="http://schemas.openxmlformats.org/officeDocument/2006/relationships/font" Target="fonts/Calibri-boldItalic.ttf"/></Relationships>
</file>